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69" w:rsidRDefault="002B2AB1">
      <w:pPr>
        <w:pStyle w:val="Standard"/>
        <w:jc w:val="right"/>
        <w:rPr>
          <w:rFonts w:hint="eastAsia"/>
          <w:b/>
        </w:rPr>
      </w:pPr>
      <w:bookmarkStart w:id="0" w:name="_GoBack"/>
      <w:bookmarkEnd w:id="0"/>
      <w:r>
        <w:rPr>
          <w:b/>
        </w:rPr>
        <w:t>Numer postępowania: PZP 1/08/2021</w:t>
      </w: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  <w:sz w:val="30"/>
          <w:szCs w:val="30"/>
        </w:rPr>
      </w:pPr>
    </w:p>
    <w:p w:rsidR="00997269" w:rsidRDefault="002B2AB1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SPECYFIKACJA WARUNKÓW ZAMÓWIENIA</w:t>
      </w:r>
    </w:p>
    <w:p w:rsidR="00997269" w:rsidRDefault="002B2AB1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zwana dalej w skrócie „SWZ”</w:t>
      </w:r>
    </w:p>
    <w:p w:rsidR="00997269" w:rsidRDefault="00997269">
      <w:pPr>
        <w:pStyle w:val="Standard"/>
        <w:jc w:val="center"/>
        <w:rPr>
          <w:rFonts w:hint="eastAsia"/>
          <w:b/>
          <w:bCs/>
          <w:sz w:val="30"/>
          <w:szCs w:val="30"/>
        </w:rPr>
      </w:pPr>
    </w:p>
    <w:p w:rsidR="00997269" w:rsidRDefault="00997269">
      <w:pPr>
        <w:pStyle w:val="Standard"/>
        <w:jc w:val="center"/>
        <w:rPr>
          <w:rFonts w:hint="eastAsia"/>
          <w:b/>
          <w:bCs/>
          <w:sz w:val="30"/>
          <w:szCs w:val="30"/>
        </w:rPr>
      </w:pPr>
    </w:p>
    <w:p w:rsidR="00997269" w:rsidRDefault="002B2AB1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„dostawa: przyrządów monitorujących z systemem obsługi danych, przyrządów </w:t>
      </w:r>
      <w:r>
        <w:rPr>
          <w:rFonts w:ascii="Times New Roman" w:hAnsi="Times New Roman" w:cs="Times New Roman"/>
          <w:b/>
          <w:sz w:val="28"/>
          <w:szCs w:val="28"/>
        </w:rPr>
        <w:t xml:space="preserve">monitorujących działających w systemie autonomicznym/bezprzewodowym, odbiornika GNNS wraz z osprzętem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do Instytutu Mechaniki Górotworu Polskiej Akademii Nauk w Krakowie.”</w:t>
      </w:r>
    </w:p>
    <w:p w:rsidR="00997269" w:rsidRDefault="00997269">
      <w:pPr>
        <w:pStyle w:val="Standard"/>
        <w:rPr>
          <w:rFonts w:hint="eastAsia"/>
          <w:sz w:val="30"/>
          <w:szCs w:val="30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jc w:val="center"/>
        <w:rPr>
          <w:rFonts w:hint="eastAsia"/>
          <w:sz w:val="26"/>
          <w:szCs w:val="26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2B2AB1">
      <w:pPr>
        <w:pStyle w:val="Standard"/>
        <w:rPr>
          <w:rFonts w:hint="eastAsia"/>
        </w:rPr>
      </w:pPr>
      <w:r>
        <w:rPr>
          <w:b/>
          <w:bCs/>
        </w:rPr>
        <w:lastRenderedPageBreak/>
        <w:t>I. Nazwa i adres Zamawiającego</w:t>
      </w:r>
    </w:p>
    <w:p w:rsidR="00997269" w:rsidRDefault="002B2AB1">
      <w:pPr>
        <w:pStyle w:val="Standard"/>
        <w:rPr>
          <w:rFonts w:hint="eastAsia"/>
        </w:rPr>
      </w:pPr>
      <w:r>
        <w:tab/>
      </w:r>
    </w:p>
    <w:p w:rsidR="00997269" w:rsidRDefault="002B2AB1">
      <w:pPr>
        <w:pStyle w:val="Standard"/>
        <w:rPr>
          <w:rFonts w:hint="eastAsia"/>
        </w:rPr>
      </w:pPr>
      <w:r>
        <w:t xml:space="preserve">Instytut Mechaniki </w:t>
      </w:r>
      <w:r>
        <w:t>Górotworu Polskiej Akademii Nauk</w:t>
      </w:r>
    </w:p>
    <w:p w:rsidR="00997269" w:rsidRDefault="002B2AB1">
      <w:pPr>
        <w:pStyle w:val="Standard"/>
        <w:rPr>
          <w:rFonts w:hint="eastAsia"/>
        </w:rPr>
      </w:pPr>
      <w:r>
        <w:t>ul. Reymonta 27, 30-059 Kraków</w:t>
      </w:r>
    </w:p>
    <w:p w:rsidR="00997269" w:rsidRDefault="002B2AB1">
      <w:pPr>
        <w:pStyle w:val="Standard"/>
        <w:rPr>
          <w:rFonts w:hint="eastAsia"/>
        </w:rPr>
      </w:pPr>
      <w:r>
        <w:t>Tel: +48 12 637 62 00</w:t>
      </w:r>
    </w:p>
    <w:p w:rsidR="00997269" w:rsidRDefault="002B2AB1">
      <w:pPr>
        <w:pStyle w:val="Standard"/>
        <w:rPr>
          <w:rFonts w:hint="eastAsia"/>
        </w:rPr>
      </w:pPr>
      <w:r>
        <w:rPr>
          <w:b/>
          <w:bCs/>
        </w:rPr>
        <w:t xml:space="preserve">Adres strony internetowej: </w:t>
      </w:r>
      <w:hyperlink r:id="rId6" w:history="1">
        <w:r>
          <w:rPr>
            <w:rStyle w:val="Hipercze"/>
            <w:b/>
            <w:bCs/>
          </w:rPr>
          <w:t>https://imgpan.pl/</w:t>
        </w:r>
      </w:hyperlink>
      <w:r>
        <w:rPr>
          <w:b/>
          <w:bCs/>
        </w:rPr>
        <w:t xml:space="preserve">  </w:t>
      </w:r>
    </w:p>
    <w:p w:rsidR="00997269" w:rsidRDefault="002B2AB1">
      <w:pPr>
        <w:pStyle w:val="Standard"/>
        <w:rPr>
          <w:rFonts w:hint="eastAsia"/>
        </w:rPr>
      </w:pPr>
      <w:r>
        <w:rPr>
          <w:b/>
        </w:rPr>
        <w:t>Poczta elektroniczna:</w:t>
      </w:r>
      <w:r>
        <w:t xml:space="preserve"> </w:t>
      </w:r>
      <w:hyperlink r:id="rId7" w:history="1">
        <w:r>
          <w:rPr>
            <w:rStyle w:val="Hipercze"/>
          </w:rPr>
          <w:t>oferty@imgpan.pl</w:t>
        </w:r>
      </w:hyperlink>
    </w:p>
    <w:p w:rsidR="00997269" w:rsidRDefault="00997269">
      <w:pPr>
        <w:pStyle w:val="Standard"/>
        <w:rPr>
          <w:rFonts w:hint="eastAsia"/>
        </w:rPr>
      </w:pPr>
    </w:p>
    <w:p w:rsidR="00997269" w:rsidRDefault="00997269">
      <w:pPr>
        <w:pStyle w:val="Standard"/>
        <w:rPr>
          <w:rFonts w:hint="eastAsia"/>
        </w:rPr>
      </w:pPr>
    </w:p>
    <w:p w:rsidR="00997269" w:rsidRDefault="002B2AB1">
      <w:pPr>
        <w:pStyle w:val="Standard"/>
        <w:rPr>
          <w:rFonts w:hint="eastAsia"/>
        </w:rPr>
      </w:pPr>
      <w:r>
        <w:rPr>
          <w:b/>
          <w:bCs/>
        </w:rPr>
        <w:t xml:space="preserve">II. </w:t>
      </w:r>
      <w:r>
        <w:rPr>
          <w:b/>
          <w:bCs/>
        </w:rPr>
        <w:t>Tryb udzielenia zamówienia</w:t>
      </w:r>
    </w:p>
    <w:p w:rsidR="00997269" w:rsidRDefault="00997269">
      <w:pPr>
        <w:pStyle w:val="Standard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>1. Postępowanie o udzielenie zamówienia publicznego prowadzone jest w trybie podstawowym na podstawie art. 275 pkt 1 Ustawy z dnia 11 września 2019 roku Prawo zamówień publicznych (tekst jednolity Dz. U. Z 2019 r. poz. 2019 ze z</w:t>
      </w:r>
      <w:r>
        <w:t>m.) zwanej dalej „Ustawą Pzp” oraz aktów wykonawczych do Ustawy pzp.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 Zamawiający nie przewiduje wyboru najkorzystniejszej oferty z możliwością prowadzenia negocjacji w celu ulepszenia treści oferty, która podlega ocenie w ramach kryteriów oceny ofert.</w:t>
      </w:r>
    </w:p>
    <w:p w:rsidR="00997269" w:rsidRDefault="00997269">
      <w:pPr>
        <w:pStyle w:val="Standard"/>
        <w:rPr>
          <w:rFonts w:hint="eastAsia"/>
        </w:rPr>
      </w:pPr>
    </w:p>
    <w:p w:rsidR="00997269" w:rsidRDefault="002B2AB1">
      <w:pPr>
        <w:pStyle w:val="Standard"/>
        <w:rPr>
          <w:rFonts w:hint="eastAsia"/>
          <w:b/>
          <w:bCs/>
        </w:rPr>
      </w:pPr>
      <w:r>
        <w:rPr>
          <w:b/>
          <w:bCs/>
        </w:rPr>
        <w:t>III. Opis przedmiotu zamówienia</w:t>
      </w:r>
    </w:p>
    <w:p w:rsidR="00997269" w:rsidRDefault="00997269">
      <w:pPr>
        <w:pStyle w:val="Standard"/>
        <w:rPr>
          <w:rFonts w:hint="eastAsia"/>
          <w:b/>
          <w:bCs/>
        </w:rPr>
      </w:pPr>
    </w:p>
    <w:p w:rsidR="00997269" w:rsidRDefault="002B2AB1">
      <w:pPr>
        <w:jc w:val="both"/>
        <w:rPr>
          <w:rFonts w:hint="eastAsia"/>
        </w:rPr>
      </w:pPr>
      <w:r>
        <w:t xml:space="preserve">1. Przedmiotem niniejszego zamówienia jest </w:t>
      </w:r>
      <w:r>
        <w:rPr>
          <w:rFonts w:ascii="Times New Roman" w:hAnsi="Times New Roman" w:cs="Times New Roman"/>
          <w:b/>
        </w:rPr>
        <w:t xml:space="preserve">dostawa: przyrządów monitorujących z systemem obsługi danych, przyrządów monitorujących działających w systemie autonomicznym/bezprzewodowym, odbiornika GNNS wraz z osprzętem </w:t>
      </w:r>
      <w:r>
        <w:rPr>
          <w:rFonts w:ascii="Times New Roman" w:hAnsi="Times New Roman" w:cs="Times New Roman"/>
          <w:b/>
          <w:lang w:eastAsia="ar-SA"/>
        </w:rPr>
        <w:t xml:space="preserve">do </w:t>
      </w:r>
      <w:r>
        <w:rPr>
          <w:rFonts w:ascii="Times New Roman" w:hAnsi="Times New Roman" w:cs="Times New Roman"/>
          <w:b/>
          <w:lang w:eastAsia="ar-SA"/>
        </w:rPr>
        <w:t>Instytutu Mechaniki Górotworu Polskiej Akademii Nauk w Krakowie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 Szczegółowe określenie przedmiotu zamówienia zawarte jest w dokumencie „Formularz opis przedmiotu zamówienia” – </w:t>
      </w:r>
      <w:r>
        <w:rPr>
          <w:b/>
        </w:rPr>
        <w:t>Załącznik nr 1 do SWZ</w:t>
      </w:r>
      <w:r>
        <w:t>, będący jednocześnie formularzem cenowym.</w:t>
      </w:r>
    </w:p>
    <w:p w:rsidR="00997269" w:rsidRDefault="002B2AB1">
      <w:pPr>
        <w:pStyle w:val="Standard"/>
        <w:shd w:val="clear" w:color="auto" w:fill="FFFFFF"/>
        <w:jc w:val="both"/>
        <w:rPr>
          <w:rFonts w:hint="eastAsia"/>
        </w:rPr>
      </w:pPr>
      <w:r>
        <w:t>3. Kod zamówi</w:t>
      </w:r>
      <w:r>
        <w:t xml:space="preserve">enia według Wspólnego Słownika Zamówień: </w:t>
      </w:r>
      <w:r>
        <w:br/>
      </w:r>
      <w:r>
        <w:rPr>
          <w:b/>
          <w:bCs/>
        </w:rPr>
        <w:t xml:space="preserve">38540000-2,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4. </w:t>
      </w:r>
      <w:r>
        <w:rPr>
          <w:rFonts w:ascii="Times New Roman" w:hAnsi="Times New Roman" w:cs="Times New Roman"/>
        </w:rPr>
        <w:t>Zamawiający podzielił przedmiot zamówienia na 3 osobne części. Opis poszczególnych części znajduje się w Załączniku nr 1 formularz opis przedmiotu zamówienia/ formularz cenowy do SWZ. Wykonawca może</w:t>
      </w:r>
      <w:r>
        <w:rPr>
          <w:rFonts w:ascii="Times New Roman" w:hAnsi="Times New Roman" w:cs="Times New Roman"/>
        </w:rPr>
        <w:t xml:space="preserve"> złożyć ofertę dla jednej, dwóch lub trzech części.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5. Zamawiający nie dopuszcza składania ofert wariantowych i wymaga złożenia oferty zgodnej z przedmiotem zamówienia, opisanym w Załączniku nr 1 do SWZ.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6.  Zamawiający nie dopuszcza złożenia oferty w pos</w:t>
      </w:r>
      <w:r>
        <w:t>taci katalogów elektronicznych.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7.  Zamawiający nie przewiduje zawarcia umowy ramowej o której mowa w art. 311-315 Ustawy Pzp.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8. Zamawiający nie przewiduje przeprowadzenia aukcji elektronicznej o której mowa w art. 227-238 Pzp.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9. Zamawiający nie przewidu</w:t>
      </w:r>
      <w:r>
        <w:t>je udzielenia zamówień, o których mowa w art. 214 ust. 1 pkt 7 i 8 Ustawy Pzp.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10. Zamawiający dopuszcza składanie ofert równoważnych zgodnie z art. 99 ust. 5 Pzp, jednakże podane przez Zamawiającego wymagania oraz parametry techniczne określające przedmio</w:t>
      </w:r>
      <w:r>
        <w:t>t zamówienia są warunkami minimalnymi, których spełnienia Zamawiający będzie oczekiwał. Wykonawca, który powołuje się na rozwiązania równoważne, jest zobowiązany wykazać, że oferowane przez niego rozwiązanie spełnia wymagania określone przez Zamawiającego.</w:t>
      </w:r>
      <w:r>
        <w:t xml:space="preserve"> W takim przypadku Wykonawca załącza do oferty wykaz rozwiązań równoważnych stosownie wraz z jego opisem lub normami.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11. Wykonawca może powierzyć wykonanie zamówienia podwykonawcy.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12. Zamawiający oczekuje podania nazw ewentualnych podwykonawców, jeżeli </w:t>
      </w:r>
      <w:r>
        <w:t>są już znani.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13. Wykonawca, którego oferta zostanie wybrana jako najkorzystniejsza zobowiązany będzie podać przed przystąpieniem do wykonania zamówienia, nazwy albo imiona i nazwiska oraz dane kontaktowe podwykonawcy i osób do kontaktu z nimi. Wykonawca z</w:t>
      </w:r>
      <w:r>
        <w:t xml:space="preserve">obowiązany będzie także do </w:t>
      </w:r>
      <w:r>
        <w:lastRenderedPageBreak/>
        <w:t xml:space="preserve">powiadamiania Zamawiającego o wszelkich zmianach danych dotyczących podwykonawcy w trakcie realizacji zamówienia oraz przekazywać informacje na temat nowego podwykonawcy, który w późniejszym okresie zamierza powierzyć realizację </w:t>
      </w:r>
      <w:r>
        <w:t>zamówienia.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14. Zamawiający dopuszcza rozwiązania równoważne do opisywanych certyfikatów, atestów, ocen technicznych, aprobat i specyfikacji technicznych.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15. </w:t>
      </w:r>
      <w:r>
        <w:rPr>
          <w:b/>
        </w:rPr>
        <w:t>W sprawach nieuregulowanych SWZ stosuje się obowiązujące przepisy ustawy Pzp, Kodeksu cywilnego o</w:t>
      </w:r>
      <w:r>
        <w:rPr>
          <w:b/>
        </w:rPr>
        <w:t>raz przepisy wykonawcze.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IV. Termin wykonania zamówienia</w:t>
      </w:r>
    </w:p>
    <w:p w:rsidR="00997269" w:rsidRDefault="00997269">
      <w:pPr>
        <w:pStyle w:val="Standard"/>
        <w:jc w:val="both"/>
        <w:rPr>
          <w:rFonts w:hint="eastAsia"/>
          <w:b/>
          <w:bCs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 Zamawiający wymaga, aby zamówienie zostało wykonane w terminie </w:t>
      </w:r>
      <w:r>
        <w:rPr>
          <w:b/>
          <w:bCs/>
        </w:rPr>
        <w:t>8 tygodni od dnia zawarcia umowy.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 Wykonawca może skrócić termin realizacji zamówienia w stosunku do terminu wskazanego powyżej. </w:t>
      </w:r>
    </w:p>
    <w:p w:rsidR="00997269" w:rsidRDefault="00997269">
      <w:pPr>
        <w:pStyle w:val="Standard"/>
        <w:jc w:val="both"/>
        <w:rPr>
          <w:rFonts w:hint="eastAsia"/>
          <w:b/>
          <w:bCs/>
        </w:rPr>
      </w:pPr>
    </w:p>
    <w:p w:rsidR="00997269" w:rsidRDefault="002B2AB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V. Wykonawcy ubiegający się wspólnie o udzielenie zamówienia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 Wykonawcy wspólnie ubiegający się o zamówienie są zobowiązani do ustanowienia pełnomocnika do reprezentowania ich w postępowaniu albo do reprezentowania ich w postępowaniu i zawarcia umowy </w:t>
      </w:r>
      <w:r>
        <w:t>w sprawie przedmiotowego zamówienia publicznego.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 Oryginał pełnomocnictwa opatrzony kwalifikowanym podpisem elektronicznym lub podpisem zaufanym lub podpisem osobistym przez Wykonawców ubiegających się wspólnie o udzielenie zamówienia lub kopia potwierdz</w:t>
      </w:r>
      <w:r>
        <w:t>ona notarialnie, opatrzona kwalifikowanym podpisem elektronicznym przez notariusza, powinny być załączone do oferty i zawierać w szczególności wskazanie: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postępowania o zamówienie publiczne, którego dotyczą,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wszystkich Wykonawców ubiegających się wspól</w:t>
      </w:r>
      <w:r>
        <w:t>nie o udzielenie zamówienia wymienionych z nazwy z określeniem adresu siedziby,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ustanowionego pełnomocnika oraz zakresu jego umocowania.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 Wszelka korespondencja prowadzona będzie przez Zamawiającego wyłącznie z pełnomocnikiem.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4. Oświadczenie wykonawcó</w:t>
      </w:r>
      <w:r>
        <w:t>w wspólnie ubiegających się o udzielenie zamówienia: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Wykonawcy wspólnie ubiegający się o udzielenie zamówienia, spośród których tylko jeden spełnia warunek dotyczący uprawnień, są zobowiązani dołączyć do oferty oświadczenie, z którego wynika, które robot</w:t>
      </w:r>
      <w:r>
        <w:t>y budowlane, dostawy lub usługi wykonają poszczególni wykonawcy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Wykonawcy wspólnie ubiegający się o udzielenie zamówienia mogą polegać a zdolnościach tych z wykonawców, którzy wykonają roboty budowlane lub usługi, do realizacji których te zdolności są wy</w:t>
      </w:r>
      <w:r>
        <w:t>magane. W takiej sytuacji wykonawcy są zobowiązani dołączyć do oferty oświadczenie, z którego wynika, które roboty budowlane, dostawy lub usługi wykonają poszczególni wykonawcy.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5. W przypadku wspólnego ubiegania się o zamówienie przez Wykonawców, </w:t>
      </w:r>
      <w:r>
        <w:rPr>
          <w:b/>
          <w:bCs/>
        </w:rPr>
        <w:t>oświadcz</w:t>
      </w:r>
      <w:r>
        <w:rPr>
          <w:b/>
          <w:bCs/>
        </w:rPr>
        <w:t xml:space="preserve">enie wstępne (Załącznik nr 3) </w:t>
      </w:r>
      <w:r>
        <w:t>składa każdy z wykonawców. Oświadczenia te potwierdzają brak podstaw wykluczenia.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>VI. Informacje o środkach komunikacji elektronicznej, przy użyciu których Zamawiający będzie komunikował się z Wykonawcami, oraz informacje o w</w:t>
      </w:r>
      <w:r>
        <w:rPr>
          <w:b/>
        </w:rPr>
        <w:t>ymaganiach technicznych i organizacyjnych sporządzania, wysyłania i odbierania korespondencji elektronicznej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1.Komunikacja między Zamawiającym a Wykonawcami odbywa się elektronicznie za pośrednictwem: miniPortalu (https://miniportal.uzp.gov.pl/) poprzez </w:t>
      </w:r>
      <w:r>
        <w:t>ePUAP, ePUAP oraz poczty elektronicznej, z zastrzeżeniem, iż oferta musi zostać złożona przy użyciu miniPortalu.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 Sposób porozumiewania się Zamawiającego z Wykonawcami: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a)  miniPortal poprzez ePUAP: https://miniportal.uzp.gov.pl/ za pośrednictwem udostę</w:t>
      </w:r>
      <w:r>
        <w:t xml:space="preserve">pnionego przez miniPortal formularza dostępnego na ePUAP (Formularz do komunikacji) </w:t>
      </w:r>
    </w:p>
    <w:p w:rsidR="00997269" w:rsidRDefault="002B2AB1">
      <w:pPr>
        <w:pStyle w:val="Standard"/>
        <w:jc w:val="both"/>
        <w:rPr>
          <w:rFonts w:hint="eastAsia"/>
        </w:rPr>
      </w:pPr>
      <w:r>
        <w:lastRenderedPageBreak/>
        <w:t xml:space="preserve">b) ePUAP: https://obywatel.gov.pl/nforms/ezamowienia za pośrednictwem dedykowanego formularza dostępnego na ePUAP (Formularz do komunikacji)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c) Poczta elektroniczna: </w:t>
      </w:r>
      <w:hyperlink r:id="rId8" w:history="1">
        <w:r>
          <w:rPr>
            <w:rStyle w:val="Hipercze"/>
          </w:rPr>
          <w:t>oferty@imgpan.pl</w:t>
        </w:r>
      </w:hyperlink>
      <w:r>
        <w:t xml:space="preserve">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 Wykonawca zamierzający wziąć udział w postępowaniu o udzielenie zamówienia publicznego, musi posiadać konto na ePUAP. Wykonawca posiadający konto na ePUAP ma dostęp do formularzy: złożenia, zmiany</w:t>
      </w:r>
      <w:r>
        <w:t>, wycofania oferty lub wniosku oraz do formularza do komunikacji. Wymagania techniczne i organizacyjne wysyłania i odbierania korespondencji elektronicznej przekazywanej przy ich użyciu, opisane zostały w Regulaminie korzystania z miniPortalu dostępnym pod</w:t>
      </w:r>
      <w:r>
        <w:t xml:space="preserve"> adresem miniPortal oraz Regulaminie ePUAP.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4.Identyfikator postępowania dla danego postępowania o udzielenie zamówienia dostępny jest na liście wszystkich postępowań na miniPortalu. W niniejszym postępowaniu identyfikator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ocds-148610-134bc80d-fe7e-11eb-b8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85-f28f91688073</w:t>
      </w:r>
    </w:p>
    <w:p w:rsidR="00997269" w:rsidRDefault="002B2AB1">
      <w:pPr>
        <w:pStyle w:val="Standard"/>
        <w:jc w:val="both"/>
        <w:rPr>
          <w:rFonts w:hint="eastAsia"/>
        </w:rPr>
      </w:pPr>
      <w:r>
        <w:t>5.Dokumenty elektroniczne, oświadczenia lub elektroniczne kopie dokumentów lub oświadczeń składane są przez Wykonawcę za pośrednictwem formularza do komunikacji jako załączniki. Z wyłączeniem składania, zmiany lub wycofania oferty, Zamawiaj</w:t>
      </w:r>
      <w:r>
        <w:t>ący dopuszcza również możliwość składania dokumentów elektronicznych, oświadczeń lub elektronicznych kopii dokumentów lub oświadczeń za pomocą poczty elektronicznej, na wskazany powyżej adres email.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6.Maksymalny rozmiar plików przesyłanych za pośrednictwem</w:t>
      </w:r>
      <w:r>
        <w:t xml:space="preserve"> dedykowanego formularza do komunikacji wynosi 150 MB. Zamawiający dopuszcza w szczególności następujący format przesyłanych danych: *.doc, *.docx, *.pdf.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7.Za datę przekazania zawiadomień, dokumentów elektronicznych, oświadczeń lub elektronicznych kopii d</w:t>
      </w:r>
      <w:r>
        <w:t xml:space="preserve">okumentów lub oświadczeń oraz innych informacji przyjmuje się datę ich przekazania na ePUAP.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8.Sposób sporządzenia i przekazywania informacji oraz wymagań technicznych dla dokumentów elektronicznych oraz środków komunikacji elektronicznej musi być zgody z</w:t>
      </w:r>
      <w:r>
        <w:t xml:space="preserve"> wymaganiami określonymi w rozporządzeniu Prezesa Rady Ministrów z dnia 30 grudnia 2020 r. (Dz. U. poz.2452). 9.Postępowanie o udzielenie zamówienia prowadzi się w języku polskim.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VII. Podstawy wykluczenia, o których mowa w art. 108 ust. 1 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>1.Zamawiając</w:t>
      </w:r>
      <w:r>
        <w:t xml:space="preserve">y wykluczy z postępowania Wykonawcę w przypadku zaistnienia okoliczności przewidzianych w art. 108 ust. 1 ustawy Pzp.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VII. Podstawy wykluczenia, o których mowa w art. 109 ust. 1 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 Stosownie do treści art. 109 ust. 2 ustawy Pzp, Zamawiający wykluczy z </w:t>
      </w:r>
      <w:r>
        <w:t xml:space="preserve">postępowania Wykonawcę: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a) w stosunku, do którego otwarto likwidację, ogłoszono upadłość, którego aktywami zarządza likwidator lub sąd, zawarł układ z wierzycielami, którego działalność gospodarcza jest zawieszona albo znajduje się on w innej tego rodzaju</w:t>
      </w:r>
      <w:r>
        <w:t xml:space="preserve"> sytuacji wynikającej z podobnej procedury przewidzianej w przepisach miejsca wszczęcia tej procedury.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>IX. Wymagania dotyczące wadium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>1.Zamawiający nie wymaga wniesienia wadium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X. Projektowane postanowienia umowy w sprawie zamówienia publicznego, które </w:t>
      </w:r>
      <w:r>
        <w:rPr>
          <w:b/>
        </w:rPr>
        <w:t>zostaną wprowadzone do treści tej umowy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>1.Projektowane postanowienia umowy w sprawie zamówienia publicznego, w tym warunki jej zmiany, które zostaną wprowadzone do treści zawieranej umowy określa załącznik nr 5 do SWZ.</w:t>
      </w:r>
    </w:p>
    <w:p w:rsidR="00997269" w:rsidRDefault="002B2AB1">
      <w:pPr>
        <w:pStyle w:val="Standard"/>
        <w:jc w:val="both"/>
        <w:rPr>
          <w:rFonts w:hint="eastAsia"/>
        </w:rPr>
      </w:pPr>
      <w:r>
        <w:lastRenderedPageBreak/>
        <w:t xml:space="preserve">2. Zamawiający przewiduje możliwość </w:t>
      </w:r>
      <w:r>
        <w:t>dokonania zmian w umowie na zasadach określonych w projekcie umowy.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XI. Wskazanie osób uprawnionych do komunikowania się z Wykonawcami 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>1. Osobą uprawnioną do komunikowania się z Wykonawcami jest: mgr Wioletta Dragan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e-mail: </w:t>
      </w:r>
      <w:hyperlink r:id="rId9" w:history="1">
        <w:r>
          <w:rPr>
            <w:rStyle w:val="Hipercze"/>
          </w:rPr>
          <w:t>oferty@imgpan.pl</w:t>
        </w:r>
      </w:hyperlink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>XII. Termin związania ofertą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1.Wykonawca jest związany ofertą 30 dni tj. do upływu terminu składania ofert do dnia 15.09.2021r. do godzin 10:00.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2.W przypadku, gdy wybór najkorzystniejszej oferty n</w:t>
      </w:r>
      <w:r>
        <w:t>ie nastąpi przed upływem terminu związania ofertą określoną w SWZ, Zamawiający przez upływem terminu związania ofertą zwraca się jednokrotnie do Wykonawców o wyrażenie zgody na przedłużenie tego terminu o wskazywany przez niego okres, nie dłuższy niż 30 dn</w:t>
      </w:r>
      <w:r>
        <w:t>i.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 Przedłużenie terminu związania ofertą, o którym mowa w ust. 2, wymaga złożenia przez Wykonawcę pisemnego oświadczenia o wyrażeniu zgody na przedłużenie terminu związania ofertą.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4. Jeżeli termin związania ofertą upłynie przed wyborem najkorzystniejsz</w:t>
      </w:r>
      <w:r>
        <w:t>ej oferty, Zamawiający wzywa Wykonawcę, którego oferta otrzymała najwyższą ocenę, do wyrażenia w wyznaczonym przez Zamawiającego terminie pisemnej zgody na wybór jego oferty. W przypadku braku zgody Zamawiający zwraca się o wyrażenie takiej zgody do kolejn</w:t>
      </w:r>
      <w:r>
        <w:t>ego Wykonawcy, którego oferta została najwyżej oceniona, chyba że zachodzą przesłanki do unieważnienia postepowania.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rPr>
          <w:b/>
        </w:rPr>
        <w:t>XIII. Opis sposobu przygotowania oferty</w:t>
      </w:r>
      <w:r>
        <w:t xml:space="preserve"> 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>1.Wykonawca może złożyć tylko jedną ofertę na realizację całości/części przedmiotu zamówienia w</w:t>
      </w:r>
      <w:r>
        <w:t xml:space="preserve"> formie w elektronicznej tj.: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opatrzonej elektronicznym podpisem kwalifikowanym lub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b) w postaci elektronicznej opatrzonej podpisem zaufanym lub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c) podpisem osobistym.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2.Wykonawcy mogą wspólnie ubiegać się o udzielenie zamówienia zgodnie z art. 58 u</w:t>
      </w:r>
      <w:r>
        <w:t xml:space="preserve">stawy Pzp. Przepisy dotyczące Wykonawcy stosuje się odpowiednio do wykonawców wspólnie ubiegających się o udzielenie zamówienia publicznego.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3.Wykonawca składa ofertę za pośrednictwem Formularza do złożenia, zmiany, wycofania oferty lub wniosku dostępnego</w:t>
      </w:r>
      <w:r>
        <w:t xml:space="preserve"> na ePUAP i udostępnionego również na miniPortalu. Klucz publiczny niezbędny do zaszyfrowania oferty przez Wykonawcę jest dostępny dla wykonawców na miniPortalu. W formularzu oferty Wykonawca zobowiązany jest podać adres skrzynki ePUAP, na którym prowadzon</w:t>
      </w:r>
      <w:r>
        <w:t xml:space="preserve">a będzie korespondencja związana z postępowaniem.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4.Oferta wraz z załącznikami musi być podpisana przez osobę/y upoważnione do składania oświadczeń woli w imieniu Wykonawcy.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5.Oferta powinna być sporządzona w języku polskim, z zachowaniem postaci elektro</w:t>
      </w:r>
      <w:r>
        <w:t xml:space="preserve">nicznej w formacie danych *.doc, *.docx, *.pdf i podpisana kwalifikowanym podpisem elektronicznym. Sposób złożenia oferty, w tym zaszyfrowania oferty opisany został w Regulaminie korzystania z miniPortal. Ofertę należy złożyć w oryginale.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6.Maksymalny roz</w:t>
      </w:r>
      <w:r>
        <w:t xml:space="preserve">miar pliku przesyłanego za pośrednictwem Formularza do złożenia, zmiany, wycofania oferty lub wniosku wynosi 150 MB.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7.Za datę przekazania oferty przyjmuje się datę jej przekazania na ePUAP.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8.Wykonawca może przed upływem terminu do składania ofert zmien</w:t>
      </w:r>
      <w:r>
        <w:t>ić lub wycofać ofertę za pośrednictwem Formularza do złożenia, zmiany, wycofania oferty lub wniosku dostępnego na ePUAP i udostępnionych również na miniPortalu. Sposób zmiany i wycofania oferty został opisany w Instrukcji użytkownika dostępnej na miniPorta</w:t>
      </w:r>
      <w:r>
        <w:t xml:space="preserve">lu. </w:t>
      </w:r>
    </w:p>
    <w:p w:rsidR="00997269" w:rsidRDefault="002B2AB1">
      <w:pPr>
        <w:pStyle w:val="Standard"/>
        <w:jc w:val="both"/>
        <w:rPr>
          <w:rFonts w:hint="eastAsia"/>
        </w:rPr>
      </w:pPr>
      <w:r>
        <w:lastRenderedPageBreak/>
        <w:t xml:space="preserve">9.Wykonawca po upływie terminu do składania ofert nie może skutecznie dokonać zmiany ani wycofać złożonej oferty.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10.Wykonawca ponosi wszelkie koszty związane z przygotowaniem i złożeniem oferty.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11. Oferta musi zawierać następujące dokumenty i oświ</w:t>
      </w:r>
      <w:r>
        <w:t xml:space="preserve">adczenia w postaci elektronicznej opatrzonej kwalifikowanym podpisem elektronicznym: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formularz ofertowy wypełniony i sporządzony według wzoru stanowiącego załącznik do SIWZ (załącznik nr 2)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b) aktualne na dzień składania ofert oświadczenie w zakresie </w:t>
      </w:r>
      <w:r>
        <w:t xml:space="preserve">wskazanym przez Zamawiającego w załączniku nr 3 do SWZ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c) Pełnomocnictwo (jeżeli oferta jest podpisana przez pełnomocnika)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rPr>
          <w:b/>
        </w:rPr>
        <w:t>XIV. Sposób oraz termin składania ofert</w:t>
      </w:r>
      <w:r>
        <w:t xml:space="preserve">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1.Oferty należy złożyć w terminie do dnia   15.09.2021r.   2021 r. do godz. 10:00.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2.Sposób składania ofert: za pośrednictwem miniPortalu.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XVII. Termin otwarcia ofert 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1.Otwarcie ofert nastąpi po upływie terminu składania ofert tj. w dniu  15.09.2021 r., o godz. 12:00.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 Otwarcie ofert następuje za pośrednictwem miniPortalu.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3.W pr</w:t>
      </w:r>
      <w:r>
        <w:t>zypadku awarii systemu teleinformatycznego, która powoduje brak możliwości otwarcia ofert w terminie określonym przez Zamawiającego, otwarcie ofert następuje niezwłocznie po usunięciu awarii.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4. Zamawiający poinformuje o zmianie terminu otwarcia ofert na s</w:t>
      </w:r>
      <w:r>
        <w:t xml:space="preserve">tronie internetowej prowadzonego postępowania.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XVIII. Sposób obliczenia ceny 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 Cenę oferty stanowić będzie wartość brutto wpisana na formularzu oferty przedmiotu zamówienia i jest to cena ryczałtowa.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 Podana w ofercie cena musi uwzględniać wszystki</w:t>
      </w:r>
      <w:r>
        <w:t xml:space="preserve">e wymagania Zamawiającego określone w niniejszej SWZ oraz obejmować wszelkie koszty, jakie poniesie Wykonawca z tytułu należytej oraz zgodnej z obowiązującymi przepisami realizacji przedmiotu zamówienia.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3.Cena ofertowa powinna obejmować pełne wykonanie p</w:t>
      </w:r>
      <w:r>
        <w:t xml:space="preserve">rzedmiotu zamówienia, na podstawie opisu przedmiotu zamówienia w SWZ, formularza opisu przedmiotu zamówienia, w tym postanowień umowy.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4. Cenę oferty należy określać z dokładnością do dwóch miejsc po przecinku. Cenę oferty zaokrągla się do pełnych groszy,</w:t>
      </w:r>
      <w:r>
        <w:t xml:space="preserve"> przy czym końcówki poniżej 0,5 gr pomija się, a końcówki 0,5 grosza i wyższe zaokrągla się do 1 grosza.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5. Kwotę podatku VAT należy obliczyć zgodnie z zasadami Ustawy o podatku od towarów i usług z 11.03.2004 r. (Dz. U. 2020 r. poz. 106).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6. Rozliczenia</w:t>
      </w:r>
      <w:r>
        <w:t xml:space="preserve"> między Zamawiającym a Wykonawcą będą prowadzone w PLN.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7. Jeżeli złożono ofertę, której wybór prowadziłby do powstania u Zamawiającego obowiązku podatkowego zgodnie z przepisami o podatku od towarów i usług, Zamawiający w celu oceny takiej oferty dolicza</w:t>
      </w:r>
      <w:r>
        <w:t xml:space="preserve"> do przedstawionej w niej ceny podatek od towarów i usług, który miałby obowiązek rozliczyć zgodnie z tymi przepisami.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8. Zamawiający nie przewiduje udzielania zaliczek na poczet wykonania zamówienia.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rPr>
          <w:b/>
        </w:rPr>
        <w:t>XIX. Opis kryteriów oceny ofert, wraz z podaniem wag</w:t>
      </w:r>
      <w:r>
        <w:rPr>
          <w:b/>
        </w:rPr>
        <w:t xml:space="preserve"> tych kryteriów i sposobu oceny ofert</w:t>
      </w:r>
      <w:r>
        <w:t xml:space="preserve">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 Przy wyborze oferty Zamawiający będzie kierował się sumą punktów uzyskanych przez ofertę w następujących kryteriach: </w:t>
      </w:r>
    </w:p>
    <w:p w:rsidR="00997269" w:rsidRDefault="002B2AB1">
      <w:pPr>
        <w:pStyle w:val="Standard"/>
        <w:jc w:val="both"/>
        <w:rPr>
          <w:rFonts w:hint="eastAsia"/>
        </w:rPr>
      </w:pPr>
      <w:r>
        <w:lastRenderedPageBreak/>
        <w:t xml:space="preserve">Co do </w:t>
      </w:r>
      <w:r>
        <w:rPr>
          <w:b/>
        </w:rPr>
        <w:t>I części zamówienia</w:t>
      </w:r>
      <w:r>
        <w:t>: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Cena - 60 %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b) Okres gwarancji - 40 %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Oferowany okres </w:t>
      </w:r>
      <w:r>
        <w:t xml:space="preserve">gwarancji należy wskazać w Formularzu ofertowym stanowiącym Załącznik nr 2 do niniejszej SWZ.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2.Punkty przyznawane za podane kryteria będą liczone według następujących wzorów: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Cena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liczba punktów = (Cmin/Cbad) x 60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gdzie: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Cbad – cena brutto </w:t>
      </w:r>
      <w:r>
        <w:t xml:space="preserve">podana w ofercie badanej;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Cmin – cena brutto najniższa spośród wszystkich ofert.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b) Okres gwarancji: maksymalną liczbę punktów tj. 40 otrzyma Wykonawca, który zaproponuje najdłuższy możliwy okres gwarancji, natomiast pozostali Wykonawcy otrzymają odpowi</w:t>
      </w:r>
      <w:r>
        <w:t>ednio mniejszą liczbę punktów tj.: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za zaoferowanie wymaganego w SWZ 12 miesięcznego okresu gwarancji – 0 pkt;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za zaoferowanie minimum 18 miesięcznego okresu gwarancji – 20 pkt;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za zaoferowanie minimum 24 miesięcznego okresu gwarancji – 40 pkt.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Co do</w:t>
      </w:r>
      <w:r>
        <w:t xml:space="preserve"> </w:t>
      </w:r>
      <w:r>
        <w:rPr>
          <w:b/>
        </w:rPr>
        <w:t>II części zamówienia</w:t>
      </w:r>
      <w:r>
        <w:t>: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Cena - 60 %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b) Okres gwarancji - 40 %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Oferowany okres gwarancji należy wskazać w Formularzu ofertowym stanowiącym Załącznik nr 2 do niniejszej SWZ.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2.Punkty przyznawane za podane kryteria będą liczone według następujących wzor</w:t>
      </w:r>
      <w:r>
        <w:t xml:space="preserve">ów: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Cena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liczba punktów = (Cmin/Cbad) x 60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gdzie: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Cbad – cena brutto podana w ofercie badanej;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Cmin – cena brutto najniższa spośród wszystkich ofert.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b) Okres gwarancji: maksymalną liczbę punktów tj. 40 otrzyma Wykonawca, który zaproponuje n</w:t>
      </w:r>
      <w:r>
        <w:t>ajdłuższy możliwy okres gwarancji, natomiast pozostali Wykonawcy otrzymają odpowiednio mniejszą liczbę punktów tj.: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za zaoferowanie wymaganego w SWZ 12 miesięcznego okresu gwarancji – 0 pkt;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za zaoferowanie minimum 18 miesięcznego okresu gwarancji – 20</w:t>
      </w:r>
      <w:r>
        <w:t xml:space="preserve"> pkt;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za zaoferowanie minimum 24 miesięcznego okresu gwarancji – 40 pkt.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Co do </w:t>
      </w:r>
      <w:r>
        <w:rPr>
          <w:b/>
        </w:rPr>
        <w:t>III części zamówienia</w:t>
      </w:r>
      <w:r>
        <w:t>: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Cena - 60 %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b) Okres gwarancji - 40 %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Oferowany okres gwarancji należy wskazać w Formularzu ofertowym stanowiącym Załącznik nr 2 do niniejszej </w:t>
      </w:r>
      <w:r>
        <w:t xml:space="preserve">SWZ.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2.Punkty przyznawane za podane kryteria będą liczone według następujących wzorów: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Cena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liczba punktów = (Cmin/Cbad) x 60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gdzie: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Cbad – cena brutto podana w ofercie badanej; 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Cmin – cena brutto najniższa spośród wszystkich ofert.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b) Okre</w:t>
      </w:r>
      <w:r>
        <w:t>s gwarancji: maksymalną liczbę punktów tj. 40 otrzyma Wykonawca, który zaproponuje najdłuższy możliwy okres gwarancji, natomiast pozostali Wykonawcy otrzymają odpowiednio mniejszą liczbę punktów tj.: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za zaoferowanie wymaganego w SWZ 24 miesięcznego okres</w:t>
      </w:r>
      <w:r>
        <w:t>u gwarancji – 0 pkt;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za zaoferowanie minimum 30 miesięcznego okresu gwarancji – 20 pkt;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za zaoferowanie minimum 36 miesięcznego okresu gwarancji – 40 pkt.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lastRenderedPageBreak/>
        <w:t>3. Tak uzyskane oceny za poszczególne kryteria zostaną zsumowane i suma ta stanowić będzie końc</w:t>
      </w:r>
      <w:r>
        <w:t xml:space="preserve">ową ocenę danej oferty. Za ofertę najkorzystniejszą zostanie uznana oferta zawierająca najkorzystniejszy bilans punktów we wskazanych powyżej kryteriach.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4. Wszystkie obliczenia będą dokonywane z dokładnością do dwóch miejsc po przecinku. 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  <w:b/>
        </w:rPr>
      </w:pPr>
      <w:r>
        <w:rPr>
          <w:b/>
        </w:rPr>
        <w:t>XX. Informacje</w:t>
      </w:r>
      <w:r>
        <w:rPr>
          <w:b/>
        </w:rPr>
        <w:t xml:space="preserve"> o formalnościach, jakie muszą zostać dopełnione po wyborze oferty w celu zawarcia umowy w sprawie zamówienia publicznego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1.Umowa w sprawie zamówienia publicznego zostanie zawarta z uwzględnieniem art. 577 Ustawy pzp, w terminie nie krótszym niż 5 dni od </w:t>
      </w:r>
      <w:r>
        <w:t>dnia przesłania zawiadomienia o wyborze najkorzystniejszej oferty, jeżeli zawiadomienie to zostało przesłane przy użyciu środków komunikacji elektronicznej, albo 10 dni, jeżeli zostało przesłane w inny sposób.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 Zamawiający może zawrzeć umowę w sprawie za</w:t>
      </w:r>
      <w:r>
        <w:t>mówienia publicznego przed upływem terminu, o którym mowa w ust. 1, jeżeli w postępowaniu o udzielenie zamówienia złożono tylko jedną ofertę.</w:t>
      </w:r>
    </w:p>
    <w:p w:rsidR="00997269" w:rsidRDefault="002B2AB1">
      <w:pPr>
        <w:pStyle w:val="Standard"/>
        <w:jc w:val="both"/>
        <w:rPr>
          <w:rFonts w:hint="eastAsia"/>
        </w:rPr>
      </w:pPr>
      <w:r>
        <w:t>3.Wykonawca, którego oferta została wybrana jako najkorzystniejsza, zostanie poinformowany przez Zamawiającego o m</w:t>
      </w:r>
      <w:r>
        <w:t>iejscu i terminie podpisania umowy.</w:t>
      </w:r>
    </w:p>
    <w:p w:rsidR="00997269" w:rsidRDefault="002B2AB1">
      <w:pPr>
        <w:pStyle w:val="Standard"/>
        <w:jc w:val="both"/>
        <w:rPr>
          <w:rFonts w:cs="Calibri" w:hint="eastAsia"/>
        </w:rPr>
      </w:pPr>
      <w:r>
        <w:rPr>
          <w:rFonts w:cs="Calibri"/>
        </w:rPr>
        <w:t>4. Wykonawca, którego oferta zostanie wybrana ma obowiązek zawrzeć umowę w sprawie zamówienia na warunkach określonych w projektowanych postanowieniach umowy, które stanowią załącznik do SWZ. Umowa zostanie uzupełniona o</w:t>
      </w:r>
      <w:r>
        <w:rPr>
          <w:rFonts w:cs="Calibri"/>
        </w:rPr>
        <w:t xml:space="preserve"> zapisy wynikające ze złożonej oferty.</w:t>
      </w:r>
    </w:p>
    <w:p w:rsidR="00997269" w:rsidRDefault="002B2AB1">
      <w:pPr>
        <w:pStyle w:val="Standard"/>
        <w:jc w:val="both"/>
        <w:rPr>
          <w:rFonts w:cs="Calibri" w:hint="eastAsia"/>
        </w:rPr>
      </w:pPr>
      <w:r>
        <w:rPr>
          <w:rFonts w:cs="Calibri"/>
        </w:rPr>
        <w:t xml:space="preserve">5. Przed podpisaniem umowy Wykonawcy wspólnie ubiegający się o udzielenie zamówienia (w przypadku wyboru ich oferty jako najkorzystniejszej) przedstawiają Zamawiającemu kopię umowy regulującej współpracę tych </w:t>
      </w:r>
      <w:r>
        <w:rPr>
          <w:rFonts w:cs="Calibri"/>
        </w:rPr>
        <w:t>Wykonawców. Umowa musi zawierać informacje o Pełnomocniku uprawnionym do kontaktów z Zamawiającym oraz wystawienia dokumentów związanych z 6. płatnościami, przy czym termin na jaki została zawarta nie może być krótszy niż termin realizacji umowy.</w:t>
      </w:r>
    </w:p>
    <w:p w:rsidR="00997269" w:rsidRDefault="002B2AB1">
      <w:pPr>
        <w:pStyle w:val="Standard"/>
        <w:jc w:val="both"/>
        <w:rPr>
          <w:rFonts w:cs="Calibri" w:hint="eastAsia"/>
        </w:rPr>
      </w:pPr>
      <w:r>
        <w:rPr>
          <w:rFonts w:cs="Calibri"/>
        </w:rPr>
        <w:t>6. Jeżeli</w:t>
      </w:r>
      <w:r>
        <w:rPr>
          <w:rFonts w:cs="Calibri"/>
        </w:rPr>
        <w:t xml:space="preserve"> Wykonawca, którego oferta została wybrana jako najkorzystniejsza, uchyla się od zawarcia umowy w sprawie zamówienia publicznego, Zamawiający może dokonać ponownego badania i oceny ofert spośród pozostałych w postepowaniu Wykonawców albo unieważnić postępo</w:t>
      </w:r>
      <w:r>
        <w:rPr>
          <w:rFonts w:cs="Calibri"/>
        </w:rPr>
        <w:t>wanie.</w:t>
      </w:r>
    </w:p>
    <w:p w:rsidR="00997269" w:rsidRDefault="002B2AB1">
      <w:pPr>
        <w:pStyle w:val="Standard"/>
        <w:jc w:val="both"/>
        <w:rPr>
          <w:rFonts w:cs="Calibri" w:hint="eastAsia"/>
        </w:rPr>
      </w:pPr>
      <w:r>
        <w:rPr>
          <w:rFonts w:cs="Calibri"/>
        </w:rPr>
        <w:t>7.Zamawiający zastrzega możliwość unieważnienia postepowania o udzielenie zamówienia, jeżeli środki publiczne, które Zamawiający zamierzał przeznaczyć na sfinansowanie całości lub części zamówienia, nie zostały mu przyznane.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pStyle w:val="Standard"/>
        <w:jc w:val="both"/>
        <w:rPr>
          <w:rFonts w:hint="eastAsia"/>
        </w:rPr>
      </w:pPr>
      <w:r>
        <w:rPr>
          <w:b/>
        </w:rPr>
        <w:t>XXI. Pouczenie o środka</w:t>
      </w:r>
      <w:r>
        <w:rPr>
          <w:b/>
        </w:rPr>
        <w:t>ch ochrony prawnej przysługujących Wykonawcy</w:t>
      </w:r>
      <w:r>
        <w:t xml:space="preserve">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1. Środki ochrony prawnej przysługują Wykonawcy, jeżeli ma lub miał interes w uzyskaniu zamówienia oraz poniósł lub może ponieść szkodę w wyniku naruszenia przez Zamawiającegǫ przepisów ustawy Pzp.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2. Odwołan</w:t>
      </w:r>
      <w:r>
        <w:t xml:space="preserve">ie przysługuje na: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a) niezgodna z przepisami ustawy czynność Zamawiającego, podjętą w postepowaniu o udzielenie zamówienia,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b) zaniechanie czynnoścí w postepowanių o udzielenie zamówienia, do której́ Zamawiający̨ był obowiązany̨ na podstawie ustawy Pzp</w:t>
      </w:r>
      <w:r>
        <w:t xml:space="preserve">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3. Odwołanie wnosi się do Prezesa Krajowej Izby Odwoławczej w formie pisemnej albo w formie elektronicznej albo w postaci elektronicznej opatrzone podpisem zaufanym.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4. Na orzeczenie Krajowej Izby Odwoławczej oraz postanowienie Prezesa Krajowej Izby </w:t>
      </w:r>
      <w:r>
        <w:t>Odwoławczej, o którym mowa w art. 519 ust. 1 ustawy PZP, stronom oraz uczestnikom postepowania odwoławczego przysługuje skarga do sadu. Skargę wnosi się do Sądu Okręgowego w Warszawie – sądu zamówień publicznych za pośrednictweḿ Prezesa Krajowej Izby Odwo</w:t>
      </w:r>
      <w:r>
        <w:t xml:space="preserve">ławczej.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5. Szczegółowe informacje dotyczące środków ochrony prawnej określone są w Dziale IX „Środki ochrony prawnej” ustawy PZP.</w:t>
      </w:r>
    </w:p>
    <w:p w:rsidR="00997269" w:rsidRDefault="00997269">
      <w:pPr>
        <w:pStyle w:val="Standard"/>
        <w:jc w:val="both"/>
        <w:rPr>
          <w:rFonts w:hint="eastAsia"/>
        </w:rPr>
      </w:pPr>
    </w:p>
    <w:p w:rsidR="00997269" w:rsidRDefault="002B2AB1">
      <w:pPr>
        <w:jc w:val="both"/>
        <w:rPr>
          <w:rFonts w:hint="eastAsia"/>
        </w:rPr>
      </w:pPr>
      <w:r>
        <w:rPr>
          <w:b/>
        </w:rPr>
        <w:t>XXII. Informacje o przetwarzaniu danych osobowych</w:t>
      </w:r>
      <w:r>
        <w:t xml:space="preserve">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Zgodnie z art. 13 ust. 1 i 2 rozporządzenia Parlamentu Europejskiego i R</w:t>
      </w:r>
      <w:r>
        <w:t xml:space="preserve">ady (UE) 2016/679 z dnia 27 kwietnia 2016 r. w sprawie ochrony osób fizycznych w związku z przetwarzaniem danych </w:t>
      </w:r>
      <w:r>
        <w:lastRenderedPageBreak/>
        <w:t xml:space="preserve">osobowych i w sprawie swobodnego przepływu takich danych oraz uchylenia dyrektywy 95/46/WE (ogólne rozporządzenie o ochronie danych) (Dz. Urz. </w:t>
      </w:r>
      <w:r>
        <w:t xml:space="preserve">UE L 119 z 04.05.2016, str. 1), dalej „RODO”, informuję, że: </w:t>
      </w:r>
    </w:p>
    <w:p w:rsidR="00997269" w:rsidRDefault="002B2AB1">
      <w:pPr>
        <w:pStyle w:val="Standard"/>
        <w:rPr>
          <w:rFonts w:hint="eastAsia"/>
        </w:rPr>
      </w:pPr>
      <w:r>
        <w:t xml:space="preserve">a) administratorem Pani/Pana danych osobowych jest Instytut Mechaniki Górotworu Polskiej Akademii Nauk, ul. Reymonta 27, 30-059 Kraków, Tel: +48 12 637 62 00 Fax: +48 12 637 28 84 </w:t>
      </w:r>
      <w:r>
        <w:rPr>
          <w:b/>
          <w:bCs/>
        </w:rPr>
        <w:t>Adres strony i</w:t>
      </w:r>
      <w:r>
        <w:rPr>
          <w:b/>
          <w:bCs/>
        </w:rPr>
        <w:t xml:space="preserve">nternetowej: </w:t>
      </w:r>
      <w:hyperlink r:id="rId10" w:history="1">
        <w:r>
          <w:rPr>
            <w:rStyle w:val="Hipercze"/>
            <w:b/>
            <w:bCs/>
          </w:rPr>
          <w:t>https://imgpan.pl/</w:t>
        </w:r>
      </w:hyperlink>
      <w:r>
        <w:rPr>
          <w:b/>
          <w:bCs/>
        </w:rPr>
        <w:t xml:space="preserve"> </w:t>
      </w:r>
    </w:p>
    <w:p w:rsidR="00997269" w:rsidRDefault="002B2AB1">
      <w:pPr>
        <w:pStyle w:val="Standard"/>
        <w:rPr>
          <w:rFonts w:hint="eastAsia"/>
        </w:rPr>
      </w:pPr>
      <w:r>
        <w:rPr>
          <w:b/>
        </w:rPr>
        <w:t>Poczta elektroniczna:</w:t>
      </w:r>
      <w:r>
        <w:t xml:space="preserve"> </w:t>
      </w:r>
      <w:hyperlink r:id="rId11" w:history="1">
        <w:r>
          <w:rPr>
            <w:rStyle w:val="Hipercze"/>
          </w:rPr>
          <w:t>oferty@imgpan.pl</w:t>
        </w:r>
      </w:hyperlink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b) kontakt z inspektorem ochrony danych osobowych w IMG PAN możliwy jest w następujący sposób: e-mail: </w:t>
      </w:r>
      <w:hyperlink r:id="rId12" w:history="1">
        <w:r>
          <w:rPr>
            <w:rStyle w:val="Hipercze"/>
          </w:rPr>
          <w:t>iod@imgpan.pl</w:t>
        </w:r>
      </w:hyperlink>
      <w:r>
        <w:t xml:space="preserve"> , telefon: + 48 12 637 62 00 wew. 57</w:t>
      </w:r>
    </w:p>
    <w:p w:rsidR="00997269" w:rsidRDefault="002B2AB1">
      <w:pPr>
        <w:pStyle w:val="Standard"/>
        <w:jc w:val="both"/>
        <w:rPr>
          <w:rFonts w:hint="eastAsia"/>
        </w:rPr>
      </w:pPr>
      <w:r>
        <w:t>c) Pani/Pana dane osobowe przetwarzane będą na podstawie art. 6 ust. 1 lit. c RODO w celu związanym z postępowaniem o udzielenie zamówienia publicznego PZP 1/08/2021 prowa</w:t>
      </w:r>
      <w:r>
        <w:t xml:space="preserve">dzonym w trybie podstawowym bez negocjacji;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d) odbiorcami Pani/Pana danych osobowych będą osoby lub podmioty, którym udostępniona zostanie dokumentacja postępowania w oparciu o art. 8 oraz art. 96 ust. 3 ustawy Pzp;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e) Pani/Pana dane osobowe będą przecho</w:t>
      </w:r>
      <w:r>
        <w:t xml:space="preserve">wywane, przez okres realizacji umowy, a po jej zakończeniu przez okres wymagany do archiwizacji tego typu dokumentów zgodnie z przepisami prawa, w tym prawa wewnętrznego obowiązującego w IMG PAN;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f) obowiązek podania przez Panią/Pana danych osobowych bezp</w:t>
      </w:r>
      <w:r>
        <w:t xml:space="preserve">ośrednio Pani/Pana dotyczących jest wymogiem ustawowym określonym w przepisach ustawy Pzp, związanym z udziałem w postępowaniu o udzielenie zamówienia publicznego; konsekwencje niepodania określonych danych wynikają z ustawy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g) w odniesieniu do Pani/Pana </w:t>
      </w:r>
      <w:r>
        <w:t xml:space="preserve">danych osobowych decyzje nie będą podejmowane w sposób zautomatyzowany, stosowanie do art. 22 RODO;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h) posiada Pani/Pan: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na podstawie art. 15 RODO prawo dostępu do danych osobowych Pani/Pana dotyczących;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na podstawie art. 16 RODO prawo do sprostowan</w:t>
      </w:r>
      <w:r>
        <w:t>ia Pani/Pana danych osobowych (Wyjaśnienie: skorzystanie z prawa do sprostowania nie może skutkować zmianą wyniku postępowania o udzielenie zamówienia publicznego ani zmianą postanowień umowy w zakresie niezgodnym z ustawą Pzp oraz nie może naruszać integr</w:t>
      </w:r>
      <w:r>
        <w:t xml:space="preserve">alności protokołu oraz jego załączników.);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na podstawie art. 18 RODO prawo żądania od administratora ograniczenia przetwarzania danych osobowych z zastrzeżeniem przypadków, o których mowa w art. 18 ust. 2 RODO (Wyjaśnienie: prawo do ograniczenia przetwa</w:t>
      </w:r>
      <w:r>
        <w:t>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  <w:r>
        <w:t xml:space="preserve"> członkowskiego.);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prawo do wniesienia skargi do Prezesa Urzędu Ochrony Danych Osobowych, gdy uzna Pani/Pan, że przetwarzanie danych osobowych Pani/Pana dotyczących narusza przepisy RODO;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i) nie przysługuje Pani/Panu: </w:t>
      </w:r>
    </w:p>
    <w:p w:rsidR="00997269" w:rsidRDefault="002B2AB1">
      <w:pPr>
        <w:pStyle w:val="Standard"/>
        <w:jc w:val="both"/>
        <w:rPr>
          <w:rFonts w:hint="eastAsia"/>
        </w:rPr>
      </w:pPr>
      <w:r>
        <w:t>- w związku z art. 17 ust. 3 lit.</w:t>
      </w:r>
      <w:r>
        <w:t xml:space="preserve"> b, d lub e RODO prawo do usunięcia danych osobowych;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prawo do przenoszenia danych osobowych, o którym mowa w art. 20 RODO; </w:t>
      </w:r>
    </w:p>
    <w:p w:rsidR="00997269" w:rsidRDefault="002B2AB1">
      <w:pPr>
        <w:pStyle w:val="Standard"/>
        <w:jc w:val="both"/>
        <w:rPr>
          <w:rFonts w:hint="eastAsia"/>
        </w:rPr>
      </w:pPr>
      <w:r>
        <w:t xml:space="preserve">- </w:t>
      </w:r>
      <w:r>
        <w:rPr>
          <w:b/>
        </w:rPr>
        <w:t xml:space="preserve">na podstawie art. 21 RODO prawo sprzeciwu, wobec przetwarzania danych osobowych, gdyż podstawą prawną przetwarzania Pani/Pana </w:t>
      </w:r>
      <w:r>
        <w:rPr>
          <w:b/>
        </w:rPr>
        <w:t>danych osobowych jest art. 6 ust. 1 lit. c RODO</w:t>
      </w: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997269">
      <w:pPr>
        <w:pStyle w:val="Standard"/>
        <w:jc w:val="both"/>
        <w:rPr>
          <w:rFonts w:hint="eastAsia"/>
          <w:b/>
        </w:rPr>
      </w:pPr>
    </w:p>
    <w:p w:rsidR="00997269" w:rsidRDefault="00997269">
      <w:pPr>
        <w:pStyle w:val="Standard"/>
        <w:jc w:val="both"/>
        <w:rPr>
          <w:rFonts w:hint="eastAsia"/>
          <w:b/>
        </w:rPr>
      </w:pPr>
    </w:p>
    <w:sectPr w:rsidR="009972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AB1" w:rsidRDefault="002B2AB1">
      <w:pPr>
        <w:rPr>
          <w:rFonts w:hint="eastAsia"/>
        </w:rPr>
      </w:pPr>
      <w:r>
        <w:separator/>
      </w:r>
    </w:p>
  </w:endnote>
  <w:endnote w:type="continuationSeparator" w:id="0">
    <w:p w:rsidR="002B2AB1" w:rsidRDefault="002B2A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AB1" w:rsidRDefault="002B2A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2AB1" w:rsidRDefault="002B2A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7269"/>
    <w:rsid w:val="002B2AB1"/>
    <w:rsid w:val="00997269"/>
    <w:rsid w:val="00A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7F66-24BE-43CA-B847-ACEEE5E2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imgpan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erty@imgpan.pl" TargetMode="External"/><Relationship Id="rId12" Type="http://schemas.openxmlformats.org/officeDocument/2006/relationships/hyperlink" Target="mailto:iod@imgp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pan.pl/" TargetMode="External"/><Relationship Id="rId11" Type="http://schemas.openxmlformats.org/officeDocument/2006/relationships/hyperlink" Target="mailto:oferty@imgpan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mgpan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erty@imgp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Dragan</dc:creator>
  <cp:lastModifiedBy>Wioletta Dragan</cp:lastModifiedBy>
  <cp:revision>2</cp:revision>
  <dcterms:created xsi:type="dcterms:W3CDTF">2021-08-16T11:00:00Z</dcterms:created>
  <dcterms:modified xsi:type="dcterms:W3CDTF">2021-08-16T11:00:00Z</dcterms:modified>
</cp:coreProperties>
</file>