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FA" w:rsidRDefault="009426FA" w:rsidP="009426FA">
      <w:pPr>
        <w:autoSpaceDE w:val="0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 xml:space="preserve">Załącznik nr 1 </w:t>
      </w:r>
    </w:p>
    <w:p w:rsidR="009426FA" w:rsidRDefault="009426FA" w:rsidP="009426FA">
      <w:pPr>
        <w:autoSpaceDE w:val="0"/>
        <w:spacing w:after="0"/>
        <w:ind w:firstLine="5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                1</w:t>
      </w:r>
      <w:r w:rsidR="00B96096">
        <w:rPr>
          <w:rFonts w:ascii="Times New Roman" w:hAnsi="Times New Roman" w:cs="Times New Roman"/>
          <w:b/>
          <w:szCs w:val="24"/>
        </w:rPr>
        <w:t>/09</w:t>
      </w:r>
      <w:r w:rsidR="00F313AF">
        <w:rPr>
          <w:rFonts w:ascii="Times New Roman" w:hAnsi="Times New Roman" w:cs="Times New Roman"/>
          <w:b/>
          <w:szCs w:val="24"/>
        </w:rPr>
        <w:t>/</w:t>
      </w:r>
      <w:r w:rsidR="00B96096">
        <w:rPr>
          <w:rFonts w:ascii="Times New Roman" w:hAnsi="Times New Roman" w:cs="Times New Roman"/>
          <w:b/>
          <w:szCs w:val="24"/>
        </w:rPr>
        <w:t>2021</w:t>
      </w:r>
    </w:p>
    <w:p w:rsidR="009426FA" w:rsidRDefault="009426FA" w:rsidP="009426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FA" w:rsidRDefault="009426FA" w:rsidP="009426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FORMULARZ OPIS PRZEDMIOTU ZAMÓWIENIA/ FORMULARZ CENOWY</w:t>
      </w:r>
    </w:p>
    <w:p w:rsidR="00925B7B" w:rsidRDefault="00925B7B" w:rsidP="009426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AE8" w:rsidRDefault="009426FA" w:rsidP="00925B7B">
      <w:pPr>
        <w:pStyle w:val="Nagwek2"/>
        <w:keepNext w:val="0"/>
        <w:keepLines w:val="0"/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3AE8">
        <w:rPr>
          <w:rFonts w:ascii="Times New Roman" w:hAnsi="Times New Roman" w:cs="Times New Roman"/>
          <w:color w:val="000000" w:themeColor="text1"/>
          <w:sz w:val="22"/>
          <w:szCs w:val="22"/>
        </w:rPr>
        <w:t>Tytuł zamówienia:</w:t>
      </w:r>
    </w:p>
    <w:p w:rsidR="00925B7B" w:rsidRPr="00925B7B" w:rsidRDefault="00925B7B" w:rsidP="00925B7B">
      <w:pPr>
        <w:rPr>
          <w:lang w:eastAsia="zh-CN" w:bidi="hi-IN"/>
        </w:rPr>
      </w:pPr>
    </w:p>
    <w:p w:rsidR="009426FA" w:rsidRPr="00AE3AE8" w:rsidRDefault="00AE3AE8" w:rsidP="00AE3AE8">
      <w:pPr>
        <w:pStyle w:val="Nagwek2"/>
        <w:keepNext w:val="0"/>
        <w:keepLines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AE3AE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„Dostawa </w:t>
      </w:r>
      <w:r w:rsidR="00B9609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oscyloskopu</w:t>
      </w:r>
      <w:r w:rsidRPr="00AE3AE8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AE3AE8">
        <w:rPr>
          <w:rFonts w:ascii="Times New Roman" w:eastAsia="Arial Unicode MS" w:hAnsi="Times New Roman" w:cs="Times New Roman"/>
          <w:b/>
          <w:color w:val="000000" w:themeColor="text1"/>
          <w:sz w:val="22"/>
          <w:szCs w:val="22"/>
          <w:lang w:eastAsia="ar-SA"/>
        </w:rPr>
        <w:t>do Instytutu Mechaniki Górotworu Polskiej Akademii Nauk w Krakowie</w:t>
      </w:r>
      <w:r w:rsidRPr="00AE3AE8">
        <w:rPr>
          <w:rFonts w:ascii="Times New Roman" w:eastAsia="Arial Unicode MS" w:hAnsi="Times New Roman" w:cs="Times New Roman"/>
          <w:b/>
          <w:color w:val="000000" w:themeColor="text1"/>
          <w:sz w:val="22"/>
          <w:szCs w:val="22"/>
        </w:rPr>
        <w:t>”,</w:t>
      </w:r>
    </w:p>
    <w:p w:rsidR="009426FA" w:rsidRDefault="009426FA" w:rsidP="009426FA">
      <w:pPr>
        <w:jc w:val="center"/>
        <w:rPr>
          <w:rFonts w:ascii="Times New Roman" w:hAnsi="Times New Roman" w:cs="Times New Roman"/>
        </w:rPr>
      </w:pPr>
    </w:p>
    <w:p w:rsidR="009426FA" w:rsidRDefault="009426FA" w:rsidP="009426FA">
      <w:pPr>
        <w:pStyle w:val="Standard"/>
        <w:numPr>
          <w:ilvl w:val="0"/>
          <w:numId w:val="2"/>
        </w:numPr>
        <w:spacing w:after="200" w:line="276" w:lineRule="auto"/>
        <w:ind w:left="357" w:hanging="357"/>
        <w:jc w:val="both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>Zamawiający wymaga, aby dostarczony przedmiot zamówienia był fabrycznie nowy. W celu uniknięcia wieloznaczności leksykalnej, Zamawiający informuje, iż pojęcie „fabrycznie nowy” tj. wytworzony (wyprodukowany) środek trwały który nie był używany przed nabyciem w jakiejkolwiek formie włącznie z jego częściami. Zaoferowany sprzęt musi pochodzić z bieżącej produkcji tj. 2020/2021 r.</w:t>
      </w:r>
    </w:p>
    <w:p w:rsidR="009426FA" w:rsidRDefault="009426FA" w:rsidP="00AE3AE8">
      <w:pPr>
        <w:pStyle w:val="Standard"/>
        <w:numPr>
          <w:ilvl w:val="0"/>
          <w:numId w:val="2"/>
        </w:numPr>
        <w:spacing w:after="200" w:line="276" w:lineRule="auto"/>
        <w:jc w:val="both"/>
        <w:rPr>
          <w:bCs/>
          <w:i/>
          <w:iCs/>
        </w:rPr>
      </w:pPr>
      <w:r w:rsidRPr="009426FA">
        <w:rPr>
          <w:bCs/>
          <w:i/>
          <w:iCs/>
        </w:rPr>
        <w:t xml:space="preserve">Zamawiający wymaga wypełnienia kolumny przez wpisanie konkretnych, oferowanych parametrów w kolumnie „Parametry oferowane” oraz wpisania producenta, modelu oferowanego asortymentu. W przypadku braku nazwy modelu, należy podać informację, że do danego asortymentu nie została przypisana nazwa modelu. </w:t>
      </w:r>
    </w:p>
    <w:p w:rsidR="0038513C" w:rsidRDefault="0038513C" w:rsidP="009426F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B7B" w:rsidRDefault="00925B7B" w:rsidP="009426FA">
      <w:pPr>
        <w:rPr>
          <w:rFonts w:ascii="Times New Roman" w:hAnsi="Times New Roman" w:cs="Times New Roman"/>
        </w:rPr>
      </w:pPr>
    </w:p>
    <w:tbl>
      <w:tblPr>
        <w:tblpPr w:leftFromText="141" w:rightFromText="141" w:bottomFromText="160" w:vertAnchor="text" w:horzAnchor="page" w:tblpX="1" w:tblpY="295"/>
        <w:tblW w:w="140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10"/>
      </w:tblGrid>
      <w:tr w:rsidR="009426FA" w:rsidTr="00B96096">
        <w:tc>
          <w:tcPr>
            <w:tcW w:w="140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26FA" w:rsidRDefault="009426FA">
            <w:pPr>
              <w:pStyle w:val="Standard"/>
              <w:spacing w:line="276" w:lineRule="auto"/>
              <w:rPr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    </w:t>
            </w:r>
            <w:r>
              <w:rPr>
                <w:i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375FD7" w:rsidRDefault="00375FD7" w:rsidP="0094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513C" w:rsidRDefault="0038513C" w:rsidP="0094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523"/>
        <w:gridCol w:w="1850"/>
        <w:gridCol w:w="1951"/>
        <w:gridCol w:w="2076"/>
        <w:gridCol w:w="861"/>
        <w:gridCol w:w="1244"/>
        <w:gridCol w:w="1129"/>
      </w:tblGrid>
      <w:tr w:rsidR="008B1A15" w:rsidTr="00B96096">
        <w:tc>
          <w:tcPr>
            <w:tcW w:w="523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0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Parametr wymagane/wartość</w:t>
            </w:r>
          </w:p>
        </w:tc>
        <w:tc>
          <w:tcPr>
            <w:tcW w:w="1951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Oferowane parametry w przedmiocie zamówienia*</w:t>
            </w:r>
          </w:p>
        </w:tc>
        <w:tc>
          <w:tcPr>
            <w:tcW w:w="2076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nazwa i typ (symbol wyrobu) *</w:t>
            </w:r>
          </w:p>
        </w:tc>
        <w:tc>
          <w:tcPr>
            <w:tcW w:w="861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44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  <w:tc>
          <w:tcPr>
            <w:tcW w:w="1129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Gwarancji</w:t>
            </w:r>
          </w:p>
        </w:tc>
      </w:tr>
      <w:tr w:rsidR="008B1A15" w:rsidTr="00B96096">
        <w:tc>
          <w:tcPr>
            <w:tcW w:w="523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50" w:type="dxa"/>
          </w:tcPr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Oscyloskop: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przynajmniej 4 kanały analogowe 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możliwość pracy w trybie 32 kanałowego analizatora stanów logicznych poprzez doposażenie w 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przyszłości w dedykowane sondy cyfrowe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Szerokość pasma w każdym z kanałów analogowych: nie mniej niż 1 GHz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Rozdzielczość przetwornika w pracy real-</w:t>
            </w:r>
            <w:proofErr w:type="spellStart"/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time</w:t>
            </w:r>
            <w:proofErr w:type="spellEnd"/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każdym z kanałów analogowych: nie mniej niż 12 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bitów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Maksymalna rzeczywista częstotliwość próbkowania w każdym kanale przy pracy real-</w:t>
            </w:r>
            <w:proofErr w:type="spellStart"/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time</w:t>
            </w:r>
            <w:proofErr w:type="spellEnd"/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dla 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kanałów analogowych przy równoczesnej rejestracji sygnałów we wszystkich kanałach: nie mniej niż 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6,25 GS/s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Długość rekordu pamięci w każdym kanale przy pracy równoczesnej wszystkich kanałów: nie mniej 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niż 31,25 </w:t>
            </w:r>
            <w:proofErr w:type="spellStart"/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Mpts</w:t>
            </w:r>
            <w:proofErr w:type="spellEnd"/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Możliwość zwiększenia rozdzielczości pionowej (tryb wysokiej rozdzielczości). Potencjalna liczba 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bitów w trybie wysokiej rozdzielczości przynajmniej 16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maksymalna dostępna szybkość przechwytywania przebiegów nie mniej niż 500000 przebiegów/s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Przekątna ekranu: nie mniej niż 13"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Rozdzielczość ekranu: nie mniej niż Full HD (1920 x 1080)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Liczba pasywnych sond oscyloskopowych w zestawie: nie mniej niż 4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Pojemność sond pasywnych: nie więcej niż 4,0 </w:t>
            </w:r>
            <w:proofErr w:type="spellStart"/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pF</w:t>
            </w:r>
            <w:proofErr w:type="spellEnd"/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Szerokość pasma sond pasywnych: nie mniej niż 1GHz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Autokompensacja</w:t>
            </w:r>
            <w:proofErr w:type="spellEnd"/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sond pasywnych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Funkcja wyzwalania obszarami z nieograniczoną ilością obszarów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Wbudowany generator arbitralny (z przynajmniej 50MHz pasmem dla sygnału sinusoidalnego)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Możliwość dekodowania magistral przynajmniej: I</w:t>
            </w:r>
            <w:r w:rsidRPr="008C12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C, SPI, RS</w:t>
            </w:r>
            <w:r w:rsidR="008C12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232/422/485/UART, CAN, CAN FD, LIN, 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FlexRay</w:t>
            </w:r>
            <w:proofErr w:type="spellEnd"/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Możliwość obsługi zdalnej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Pamięć segmentowa z możliwością przechwytywania przebiegów z szybkością przynajmniej 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&gt;5 000 000 przebiegów na sekundę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Analiza widma z niezależnymi nastawami w dziedzinie częstotliwości i czasu, umożliwiająca 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jednoczesne wyświetlenie analizy w dziedzinie czasu i częstotliwości dla wszystkich kanałów 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analogowych z zachowaną korelacją czasową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wbudowane interfejsy komunikacyjne przynajmniej 2x USB Host, USB Device, LAN (10/100/1000 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Base-T Ethernet; zgodny z LXI), HDMI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wbudowany moduł analizy mocy umożliwiający pomiary </w:t>
            </w: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jakości energii, pojemności wejściowej, 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prądu rozruchowego, harmonicznych, strat przełączania, obszaru pracy tranzystorów (SOA), tętnień, </w:t>
            </w:r>
          </w:p>
          <w:p w:rsidR="00B96096" w:rsidRPr="00B96096" w:rsidRDefault="00B96096" w:rsidP="00B9609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pomiary magnetyczne, sprawności, szybkości narostu (dv/</w:t>
            </w:r>
            <w:proofErr w:type="spellStart"/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dt</w:t>
            </w:r>
            <w:proofErr w:type="spellEnd"/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di/</w:t>
            </w:r>
            <w:proofErr w:type="spellStart"/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dt</w:t>
            </w:r>
            <w:proofErr w:type="spellEnd"/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), analizy Control </w:t>
            </w:r>
            <w:proofErr w:type="spellStart"/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Loop</w:t>
            </w:r>
            <w:proofErr w:type="spellEnd"/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Response</w:t>
            </w:r>
            <w:proofErr w:type="spellEnd"/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8B1A15" w:rsidRPr="00B96096" w:rsidRDefault="00B96096" w:rsidP="008C12E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Bode</w:t>
            </w:r>
            <w:proofErr w:type="spellEnd"/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Plot) i Power Supply </w:t>
            </w:r>
            <w:proofErr w:type="spellStart"/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Rejection</w:t>
            </w:r>
            <w:proofErr w:type="spellEnd"/>
            <w:r w:rsidRPr="00B960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Ratio (PSRR)</w:t>
            </w:r>
            <w:bookmarkStart w:id="0" w:name="_GoBack"/>
            <w:bookmarkEnd w:id="0"/>
          </w:p>
        </w:tc>
        <w:tc>
          <w:tcPr>
            <w:tcW w:w="1951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6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61" w:type="dxa"/>
          </w:tcPr>
          <w:p w:rsidR="0038513C" w:rsidRDefault="008B1A15" w:rsidP="008B1A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44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</w:tcPr>
          <w:p w:rsidR="0038513C" w:rsidRDefault="0038513C" w:rsidP="009426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8513C" w:rsidRDefault="0038513C" w:rsidP="009426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26FA" w:rsidRDefault="009426FA" w:rsidP="0094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8513C" w:rsidRDefault="0038513C" w:rsidP="0094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426FA" w:rsidRDefault="009426FA" w:rsidP="009426FA">
      <w:pPr>
        <w:pStyle w:val="Standard"/>
        <w:suppressAutoHyphens/>
        <w:rPr>
          <w:b/>
          <w:bCs/>
        </w:rPr>
      </w:pPr>
      <w:r>
        <w:rPr>
          <w:b/>
          <w:bCs/>
        </w:rPr>
        <w:t xml:space="preserve">Łączna wartość brutto: </w:t>
      </w:r>
    </w:p>
    <w:p w:rsidR="009426FA" w:rsidRDefault="009426FA" w:rsidP="009426FA">
      <w:pPr>
        <w:pStyle w:val="Standard"/>
        <w:suppressAutoHyphens/>
        <w:rPr>
          <w:i/>
        </w:rPr>
      </w:pPr>
    </w:p>
    <w:p w:rsidR="009426FA" w:rsidRDefault="009426FA" w:rsidP="009426FA">
      <w:pPr>
        <w:pStyle w:val="Standard"/>
        <w:suppressAutoHyphens/>
        <w:rPr>
          <w:i/>
        </w:rPr>
      </w:pPr>
    </w:p>
    <w:p w:rsidR="009426FA" w:rsidRDefault="009426FA" w:rsidP="009426FA">
      <w:pPr>
        <w:pStyle w:val="Standard"/>
        <w:suppressAutoHyphens/>
        <w:rPr>
          <w:i/>
        </w:rPr>
      </w:pPr>
    </w:p>
    <w:p w:rsidR="009426FA" w:rsidRDefault="009426FA" w:rsidP="009426FA">
      <w:pPr>
        <w:pStyle w:val="Standard"/>
        <w:suppressAutoHyphens/>
        <w:rPr>
          <w:i/>
        </w:rPr>
      </w:pPr>
    </w:p>
    <w:p w:rsidR="009426FA" w:rsidRDefault="009426FA" w:rsidP="009426FA">
      <w:pPr>
        <w:pStyle w:val="Standard"/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</w:t>
      </w:r>
    </w:p>
    <w:p w:rsidR="009426FA" w:rsidRDefault="009426FA" w:rsidP="009426FA">
      <w:pPr>
        <w:pStyle w:val="Standard"/>
        <w:tabs>
          <w:tab w:val="left" w:pos="1140"/>
          <w:tab w:val="left" w:pos="1224"/>
        </w:tabs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(podpis)</w:t>
      </w:r>
    </w:p>
    <w:p w:rsidR="009426FA" w:rsidRDefault="009426FA" w:rsidP="009426FA">
      <w:pPr>
        <w:jc w:val="center"/>
      </w:pPr>
    </w:p>
    <w:p w:rsidR="009426FA" w:rsidRDefault="009426FA" w:rsidP="009426FA">
      <w:pPr>
        <w:pStyle w:val="Standard"/>
        <w:suppressAutoHyphens/>
        <w:rPr>
          <w:b/>
          <w:bCs/>
        </w:rPr>
      </w:pPr>
    </w:p>
    <w:p w:rsidR="009426FA" w:rsidRDefault="009426FA" w:rsidP="009426FA">
      <w:pPr>
        <w:pStyle w:val="Standard"/>
        <w:suppressAutoHyphens/>
        <w:rPr>
          <w:b/>
          <w:lang w:eastAsia="ar-SA"/>
        </w:rPr>
      </w:pPr>
    </w:p>
    <w:p w:rsidR="009426FA" w:rsidRDefault="009426FA" w:rsidP="009426FA">
      <w:pPr>
        <w:pStyle w:val="Standard"/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</w:t>
      </w:r>
    </w:p>
    <w:p w:rsidR="009426FA" w:rsidRDefault="009426FA" w:rsidP="009426FA">
      <w:pPr>
        <w:pStyle w:val="Standard"/>
        <w:tabs>
          <w:tab w:val="left" w:pos="1140"/>
          <w:tab w:val="left" w:pos="1224"/>
        </w:tabs>
        <w:jc w:val="center"/>
        <w:rPr>
          <w:b/>
          <w:bCs/>
          <w:color w:val="000000"/>
        </w:rPr>
      </w:pPr>
    </w:p>
    <w:sectPr w:rsidR="0094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Lohit Hindi"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4333F"/>
    <w:multiLevelType w:val="multilevel"/>
    <w:tmpl w:val="78FE17A0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FA"/>
    <w:rsid w:val="00375FD7"/>
    <w:rsid w:val="0038513C"/>
    <w:rsid w:val="003D1BE2"/>
    <w:rsid w:val="003D4227"/>
    <w:rsid w:val="00716ED1"/>
    <w:rsid w:val="007324FE"/>
    <w:rsid w:val="008B1A15"/>
    <w:rsid w:val="008C12E6"/>
    <w:rsid w:val="008F63F4"/>
    <w:rsid w:val="00925B7B"/>
    <w:rsid w:val="009426FA"/>
    <w:rsid w:val="00A87F60"/>
    <w:rsid w:val="00AE3AE8"/>
    <w:rsid w:val="00B96096"/>
    <w:rsid w:val="00F3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E404"/>
  <w15:chartTrackingRefBased/>
  <w15:docId w15:val="{0C3F28A2-731C-40E5-AA23-8D36378C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6FA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3AE8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26FA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9426FA"/>
    <w:pPr>
      <w:widowControl w:val="0"/>
      <w:suppressLineNumbers/>
      <w:suppressAutoHyphens/>
    </w:pPr>
    <w:rPr>
      <w:rFonts w:ascii="Liberation Serif" w:eastAsia="DejaVu Sans" w:hAnsi="Liberation Serif" w:cs="Lohit Hindi"/>
      <w:lang w:bidi="hi-IN"/>
    </w:rPr>
  </w:style>
  <w:style w:type="table" w:styleId="Tabela-Siatka">
    <w:name w:val="Table Grid"/>
    <w:basedOn w:val="Standardowy"/>
    <w:uiPriority w:val="39"/>
    <w:rsid w:val="009426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2">
    <w:name w:val="WW8Num12"/>
    <w:rsid w:val="009426FA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AE3AE8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4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75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8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70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5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2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42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8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41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64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87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1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995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53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51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4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9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30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16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497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5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53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85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78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9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3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4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77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27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92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73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848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04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46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2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84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07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73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63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199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30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52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2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0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7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6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7</cp:revision>
  <dcterms:created xsi:type="dcterms:W3CDTF">2021-07-20T08:32:00Z</dcterms:created>
  <dcterms:modified xsi:type="dcterms:W3CDTF">2021-09-14T07:37:00Z</dcterms:modified>
</cp:coreProperties>
</file>